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9AF61" w14:textId="5609FDA8" w:rsidR="00AA3D03" w:rsidRPr="008B7179" w:rsidRDefault="00CC0CA6" w:rsidP="002117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UPPER PROVIDENCE</w:t>
      </w:r>
      <w:r w:rsidR="002117D9" w:rsidRPr="008B7179">
        <w:rPr>
          <w:b/>
          <w:sz w:val="32"/>
          <w:szCs w:val="32"/>
        </w:rPr>
        <w:t xml:space="preserve"> TOWNSHIP</w:t>
      </w:r>
    </w:p>
    <w:p w14:paraId="4F59DE53" w14:textId="77777777" w:rsidR="002117D9" w:rsidRPr="008B7179" w:rsidRDefault="002117D9" w:rsidP="002117D9">
      <w:pPr>
        <w:jc w:val="center"/>
        <w:rPr>
          <w:b/>
          <w:sz w:val="32"/>
          <w:szCs w:val="32"/>
        </w:rPr>
      </w:pPr>
      <w:r w:rsidRPr="008B7179">
        <w:rPr>
          <w:b/>
          <w:sz w:val="32"/>
          <w:szCs w:val="32"/>
        </w:rPr>
        <w:t>Capital Projects Funding Policy</w:t>
      </w:r>
    </w:p>
    <w:p w14:paraId="45B2F7EF" w14:textId="77777777" w:rsidR="002117D9" w:rsidRPr="008B7179" w:rsidRDefault="002117D9" w:rsidP="002117D9">
      <w:pPr>
        <w:rPr>
          <w:b/>
          <w:sz w:val="24"/>
          <w:szCs w:val="24"/>
        </w:rPr>
      </w:pPr>
    </w:p>
    <w:p w14:paraId="7DDE673C" w14:textId="77777777" w:rsidR="002117D9" w:rsidRPr="008B7179" w:rsidRDefault="002117D9" w:rsidP="002117D9">
      <w:pPr>
        <w:rPr>
          <w:b/>
          <w:sz w:val="24"/>
          <w:szCs w:val="24"/>
          <w:u w:val="single"/>
        </w:rPr>
      </w:pPr>
      <w:r w:rsidRPr="008B7179">
        <w:rPr>
          <w:b/>
          <w:sz w:val="24"/>
          <w:szCs w:val="24"/>
          <w:u w:val="single"/>
        </w:rPr>
        <w:t>Purpose</w:t>
      </w:r>
    </w:p>
    <w:p w14:paraId="582B59B6" w14:textId="61CF79A7" w:rsidR="002117D9" w:rsidRPr="008B7179" w:rsidRDefault="002117D9" w:rsidP="002117D9">
      <w:pPr>
        <w:rPr>
          <w:sz w:val="24"/>
          <w:szCs w:val="24"/>
        </w:rPr>
      </w:pPr>
      <w:r w:rsidRPr="008B7179">
        <w:rPr>
          <w:sz w:val="24"/>
          <w:szCs w:val="24"/>
        </w:rPr>
        <w:t>The Capital Projects Funding Policy</w:t>
      </w:r>
      <w:r w:rsidR="00283ADA" w:rsidRPr="008B7179">
        <w:rPr>
          <w:sz w:val="24"/>
          <w:szCs w:val="24"/>
        </w:rPr>
        <w:t xml:space="preserve"> sets guidelines to fund Capital </w:t>
      </w:r>
      <w:r w:rsidR="00CE3B65">
        <w:rPr>
          <w:sz w:val="24"/>
          <w:szCs w:val="24"/>
        </w:rPr>
        <w:t xml:space="preserve">Improvement </w:t>
      </w:r>
      <w:r w:rsidR="00283ADA" w:rsidRPr="008B7179">
        <w:rPr>
          <w:sz w:val="24"/>
          <w:szCs w:val="24"/>
        </w:rPr>
        <w:t>Projects or</w:t>
      </w:r>
      <w:r w:rsidR="00CE3B65">
        <w:rPr>
          <w:sz w:val="24"/>
          <w:szCs w:val="24"/>
        </w:rPr>
        <w:t xml:space="preserve"> for</w:t>
      </w:r>
      <w:r w:rsidR="00283ADA" w:rsidRPr="008B7179">
        <w:rPr>
          <w:sz w:val="24"/>
          <w:szCs w:val="24"/>
        </w:rPr>
        <w:t xml:space="preserve"> the acquisition of capital equipment that cost at least $</w:t>
      </w:r>
      <w:r w:rsidR="00FB015A">
        <w:rPr>
          <w:sz w:val="24"/>
          <w:szCs w:val="24"/>
        </w:rPr>
        <w:t>2</w:t>
      </w:r>
      <w:r w:rsidR="00283ADA" w:rsidRPr="008B7179">
        <w:rPr>
          <w:sz w:val="24"/>
          <w:szCs w:val="24"/>
        </w:rPr>
        <w:t>0,000 and ha</w:t>
      </w:r>
      <w:r w:rsidR="00CE3B65">
        <w:rPr>
          <w:sz w:val="24"/>
          <w:szCs w:val="24"/>
        </w:rPr>
        <w:t>s</w:t>
      </w:r>
      <w:r w:rsidR="00283ADA" w:rsidRPr="008B7179">
        <w:rPr>
          <w:sz w:val="24"/>
          <w:szCs w:val="24"/>
        </w:rPr>
        <w:t xml:space="preserve"> a useful life of at least ten years.  Finding alternative ways of funding these projects will minimize</w:t>
      </w:r>
      <w:r w:rsidR="00F46908">
        <w:rPr>
          <w:sz w:val="24"/>
          <w:szCs w:val="24"/>
        </w:rPr>
        <w:t xml:space="preserve"> the township’s </w:t>
      </w:r>
      <w:r w:rsidR="00283ADA" w:rsidRPr="008B7179">
        <w:rPr>
          <w:sz w:val="24"/>
          <w:szCs w:val="24"/>
        </w:rPr>
        <w:t xml:space="preserve">reliance on long-term debt.  Whenever possible, capital costs should be financed by means other than borrowing.  In addition to soliciting outside grant funding, </w:t>
      </w:r>
      <w:r w:rsidR="00CC0CA6">
        <w:rPr>
          <w:sz w:val="24"/>
          <w:szCs w:val="24"/>
        </w:rPr>
        <w:t>Upper Providence</w:t>
      </w:r>
      <w:r w:rsidR="00283ADA" w:rsidRPr="008B7179">
        <w:rPr>
          <w:sz w:val="24"/>
          <w:szCs w:val="24"/>
        </w:rPr>
        <w:t xml:space="preserve"> Township should utilize pay-as-you-go methods such as regular co</w:t>
      </w:r>
      <w:r w:rsidR="005A79EA" w:rsidRPr="008B7179">
        <w:rPr>
          <w:sz w:val="24"/>
          <w:szCs w:val="24"/>
        </w:rPr>
        <w:t>ntributions from other funds.</w:t>
      </w:r>
    </w:p>
    <w:p w14:paraId="121D9122" w14:textId="77777777" w:rsidR="005A79EA" w:rsidRPr="008B7179" w:rsidRDefault="005A79EA" w:rsidP="002117D9">
      <w:pPr>
        <w:rPr>
          <w:sz w:val="24"/>
          <w:szCs w:val="24"/>
        </w:rPr>
      </w:pPr>
    </w:p>
    <w:p w14:paraId="13557C0D" w14:textId="77777777" w:rsidR="005A79EA" w:rsidRPr="008B7179" w:rsidRDefault="005A79EA" w:rsidP="002117D9">
      <w:pPr>
        <w:rPr>
          <w:b/>
          <w:sz w:val="24"/>
          <w:szCs w:val="24"/>
          <w:u w:val="single"/>
        </w:rPr>
      </w:pPr>
      <w:r w:rsidRPr="008B7179">
        <w:rPr>
          <w:b/>
          <w:sz w:val="24"/>
          <w:szCs w:val="24"/>
          <w:u w:val="single"/>
        </w:rPr>
        <w:t>Policy</w:t>
      </w:r>
    </w:p>
    <w:p w14:paraId="5184C920" w14:textId="77777777" w:rsidR="005A79EA" w:rsidRPr="008B7179" w:rsidRDefault="005A79EA" w:rsidP="002117D9">
      <w:pPr>
        <w:rPr>
          <w:sz w:val="24"/>
          <w:szCs w:val="24"/>
        </w:rPr>
      </w:pPr>
      <w:r w:rsidRPr="008B7179">
        <w:rPr>
          <w:sz w:val="24"/>
          <w:szCs w:val="24"/>
        </w:rPr>
        <w:t xml:space="preserve">The following methods of obtaining funds are to be utilized for the carrying out of </w:t>
      </w:r>
      <w:r w:rsidR="00F46908">
        <w:rPr>
          <w:sz w:val="24"/>
          <w:szCs w:val="24"/>
        </w:rPr>
        <w:t>C</w:t>
      </w:r>
      <w:r w:rsidRPr="008B7179">
        <w:rPr>
          <w:sz w:val="24"/>
          <w:szCs w:val="24"/>
        </w:rPr>
        <w:t xml:space="preserve">apital </w:t>
      </w:r>
      <w:r w:rsidR="00CE3B65">
        <w:rPr>
          <w:sz w:val="24"/>
          <w:szCs w:val="24"/>
        </w:rPr>
        <w:t>Improvement P</w:t>
      </w:r>
      <w:r w:rsidRPr="008B7179">
        <w:rPr>
          <w:sz w:val="24"/>
          <w:szCs w:val="24"/>
        </w:rPr>
        <w:t>rojects or capital equipment acquisition.  They are ranked in descending order with the most desirable method listed first.</w:t>
      </w:r>
    </w:p>
    <w:p w14:paraId="6E24B89F" w14:textId="77777777" w:rsidR="005A79EA" w:rsidRPr="008B7179" w:rsidRDefault="005A79EA" w:rsidP="005A79E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C0CA6">
        <w:rPr>
          <w:b/>
          <w:bCs/>
          <w:sz w:val="24"/>
          <w:szCs w:val="24"/>
        </w:rPr>
        <w:t>Grants</w:t>
      </w:r>
      <w:r w:rsidRPr="008B7179">
        <w:rPr>
          <w:sz w:val="24"/>
          <w:szCs w:val="24"/>
        </w:rPr>
        <w:t xml:space="preserve"> – Opportunities for federal, state, local government and other grants sources should be explored and applied for whenever possible.  Funds accumulated under this policy may be used as a match of grant funds as may be required by the grantor.</w:t>
      </w:r>
    </w:p>
    <w:p w14:paraId="11CBB076" w14:textId="77777777" w:rsidR="00D61112" w:rsidRPr="008B7179" w:rsidRDefault="00D61112" w:rsidP="00D61112">
      <w:pPr>
        <w:pStyle w:val="ListParagraph"/>
        <w:rPr>
          <w:sz w:val="24"/>
          <w:szCs w:val="24"/>
        </w:rPr>
      </w:pPr>
    </w:p>
    <w:p w14:paraId="4E3D6CB8" w14:textId="77777777" w:rsidR="00D61112" w:rsidRPr="008B7179" w:rsidRDefault="00D61112" w:rsidP="00D6111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C0CA6">
        <w:rPr>
          <w:b/>
          <w:bCs/>
          <w:sz w:val="24"/>
          <w:szCs w:val="24"/>
        </w:rPr>
        <w:t>Interest Income</w:t>
      </w:r>
      <w:r w:rsidRPr="008B7179">
        <w:rPr>
          <w:sz w:val="24"/>
          <w:szCs w:val="24"/>
        </w:rPr>
        <w:t xml:space="preserve"> – Interest earnings on any accumulated funds under this policy should be utilized to fund future projects or capital asset acquisition.</w:t>
      </w:r>
    </w:p>
    <w:p w14:paraId="25809E1F" w14:textId="77777777" w:rsidR="00D61112" w:rsidRPr="008B7179" w:rsidRDefault="00D61112" w:rsidP="00D61112">
      <w:pPr>
        <w:pStyle w:val="ListParagraph"/>
        <w:rPr>
          <w:sz w:val="24"/>
          <w:szCs w:val="24"/>
        </w:rPr>
      </w:pPr>
    </w:p>
    <w:p w14:paraId="523EC57B" w14:textId="0941BA5F" w:rsidR="00D61112" w:rsidRDefault="00BD094F" w:rsidP="00D6111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C0CA6">
        <w:rPr>
          <w:b/>
          <w:bCs/>
          <w:sz w:val="24"/>
          <w:szCs w:val="24"/>
        </w:rPr>
        <w:t>Contributions</w:t>
      </w:r>
      <w:r w:rsidR="00D61112" w:rsidRPr="00CC0CA6">
        <w:rPr>
          <w:b/>
          <w:bCs/>
          <w:sz w:val="24"/>
          <w:szCs w:val="24"/>
        </w:rPr>
        <w:t xml:space="preserve"> of non-re</w:t>
      </w:r>
      <w:r w:rsidRPr="00CC0CA6">
        <w:rPr>
          <w:b/>
          <w:bCs/>
          <w:sz w:val="24"/>
          <w:szCs w:val="24"/>
        </w:rPr>
        <w:t>occurring</w:t>
      </w:r>
      <w:r w:rsidR="008B7179" w:rsidRPr="00CC0CA6">
        <w:rPr>
          <w:b/>
          <w:bCs/>
          <w:sz w:val="24"/>
          <w:szCs w:val="24"/>
        </w:rPr>
        <w:t xml:space="preserve"> revenue</w:t>
      </w:r>
      <w:r w:rsidR="00CC0CA6">
        <w:rPr>
          <w:b/>
          <w:bCs/>
          <w:sz w:val="24"/>
          <w:szCs w:val="24"/>
        </w:rPr>
        <w:t xml:space="preserve"> – </w:t>
      </w:r>
      <w:r w:rsidR="008B7179" w:rsidRPr="008B7179">
        <w:rPr>
          <w:sz w:val="24"/>
          <w:szCs w:val="24"/>
        </w:rPr>
        <w:t>T</w:t>
      </w:r>
      <w:r w:rsidR="00CC0CA6">
        <w:rPr>
          <w:sz w:val="24"/>
          <w:szCs w:val="24"/>
        </w:rPr>
        <w:t>ownship Council</w:t>
      </w:r>
      <w:r w:rsidR="008B7179" w:rsidRPr="008B7179">
        <w:rPr>
          <w:sz w:val="24"/>
          <w:szCs w:val="24"/>
        </w:rPr>
        <w:t xml:space="preserve"> may through resolution contribute any amount over fifteen percent (15%) of one-time, </w:t>
      </w:r>
      <w:r w:rsidRPr="008B7179">
        <w:rPr>
          <w:sz w:val="24"/>
          <w:szCs w:val="24"/>
        </w:rPr>
        <w:t>non-re-</w:t>
      </w:r>
      <w:r w:rsidR="008B7179" w:rsidRPr="008B7179">
        <w:rPr>
          <w:sz w:val="24"/>
          <w:szCs w:val="24"/>
        </w:rPr>
        <w:t>occurring revenue in the General Fund.</w:t>
      </w:r>
      <w:r w:rsidR="008B7179">
        <w:rPr>
          <w:sz w:val="24"/>
          <w:szCs w:val="24"/>
        </w:rPr>
        <w:t xml:space="preserve">  The fifteen percent will be determined during the budget building process by estimating </w:t>
      </w:r>
      <w:r w:rsidR="00044BE9">
        <w:rPr>
          <w:sz w:val="24"/>
          <w:szCs w:val="24"/>
        </w:rPr>
        <w:t xml:space="preserve">year-end </w:t>
      </w:r>
      <w:r w:rsidR="008B7179">
        <w:rPr>
          <w:sz w:val="24"/>
          <w:szCs w:val="24"/>
        </w:rPr>
        <w:t xml:space="preserve">revenue </w:t>
      </w:r>
      <w:r w:rsidR="00044BE9">
        <w:rPr>
          <w:sz w:val="24"/>
          <w:szCs w:val="24"/>
        </w:rPr>
        <w:t xml:space="preserve">totals </w:t>
      </w:r>
      <w:r w:rsidR="008B7179">
        <w:rPr>
          <w:sz w:val="24"/>
          <w:szCs w:val="24"/>
        </w:rPr>
        <w:t xml:space="preserve">for each revenue line item contained in the budget.  </w:t>
      </w:r>
      <w:r w:rsidR="00044BE9">
        <w:rPr>
          <w:sz w:val="24"/>
          <w:szCs w:val="24"/>
        </w:rPr>
        <w:t xml:space="preserve">If it is projected that a revenue </w:t>
      </w:r>
      <w:r>
        <w:rPr>
          <w:sz w:val="24"/>
          <w:szCs w:val="24"/>
        </w:rPr>
        <w:t>category</w:t>
      </w:r>
      <w:r w:rsidR="00F46908">
        <w:rPr>
          <w:sz w:val="24"/>
          <w:szCs w:val="24"/>
        </w:rPr>
        <w:t xml:space="preserve"> that had non-re</w:t>
      </w:r>
      <w:r w:rsidR="00DC2510">
        <w:rPr>
          <w:sz w:val="24"/>
          <w:szCs w:val="24"/>
        </w:rPr>
        <w:t>occurring revenue</w:t>
      </w:r>
      <w:r w:rsidR="00F46908">
        <w:rPr>
          <w:sz w:val="24"/>
          <w:szCs w:val="24"/>
        </w:rPr>
        <w:t xml:space="preserve"> </w:t>
      </w:r>
      <w:r w:rsidR="00255031">
        <w:rPr>
          <w:sz w:val="24"/>
          <w:szCs w:val="24"/>
        </w:rPr>
        <w:t>and</w:t>
      </w:r>
      <w:r w:rsidR="00044BE9">
        <w:rPr>
          <w:sz w:val="24"/>
          <w:szCs w:val="24"/>
        </w:rPr>
        <w:t xml:space="preserve"> will exceed the budgeted level by at </w:t>
      </w:r>
      <w:r>
        <w:rPr>
          <w:sz w:val="24"/>
          <w:szCs w:val="24"/>
        </w:rPr>
        <w:t>least</w:t>
      </w:r>
      <w:r w:rsidR="00044BE9">
        <w:rPr>
          <w:sz w:val="24"/>
          <w:szCs w:val="24"/>
        </w:rPr>
        <w:t xml:space="preserve"> 15%, </w:t>
      </w:r>
      <w:r w:rsidR="00CC0CA6">
        <w:rPr>
          <w:sz w:val="24"/>
          <w:szCs w:val="24"/>
        </w:rPr>
        <w:t>Township Council</w:t>
      </w:r>
      <w:r w:rsidR="00044BE9">
        <w:rPr>
          <w:sz w:val="24"/>
          <w:szCs w:val="24"/>
        </w:rPr>
        <w:t xml:space="preserve"> may assign any portion of the amount over 15% for capital projects or capital asset acquisition.  </w:t>
      </w:r>
      <w:r>
        <w:rPr>
          <w:sz w:val="24"/>
          <w:szCs w:val="24"/>
        </w:rPr>
        <w:t>When making any decision as to a contribution of no</w:t>
      </w:r>
      <w:r w:rsidR="00F46908">
        <w:rPr>
          <w:sz w:val="24"/>
          <w:szCs w:val="24"/>
        </w:rPr>
        <w:t>n-</w:t>
      </w:r>
      <w:r>
        <w:rPr>
          <w:sz w:val="24"/>
          <w:szCs w:val="24"/>
        </w:rPr>
        <w:t xml:space="preserve">reoccurring revenue, </w:t>
      </w:r>
      <w:r w:rsidR="00CC0CA6">
        <w:rPr>
          <w:sz w:val="24"/>
          <w:szCs w:val="24"/>
        </w:rPr>
        <w:t>Township Council</w:t>
      </w:r>
      <w:r>
        <w:rPr>
          <w:sz w:val="24"/>
          <w:szCs w:val="24"/>
        </w:rPr>
        <w:t xml:space="preserve"> should take into consideration </w:t>
      </w:r>
      <w:proofErr w:type="gramStart"/>
      <w:r>
        <w:rPr>
          <w:sz w:val="24"/>
          <w:szCs w:val="24"/>
        </w:rPr>
        <w:t>whether or not</w:t>
      </w:r>
      <w:proofErr w:type="gramEnd"/>
      <w:r>
        <w:rPr>
          <w:sz w:val="24"/>
          <w:szCs w:val="24"/>
        </w:rPr>
        <w:t xml:space="preserve"> the township has met its threshold under the Fund Balance Policy.  </w:t>
      </w:r>
      <w:r w:rsidR="008B7179">
        <w:rPr>
          <w:sz w:val="24"/>
          <w:szCs w:val="24"/>
        </w:rPr>
        <w:t>Examples of non-</w:t>
      </w:r>
      <w:r>
        <w:rPr>
          <w:sz w:val="24"/>
          <w:szCs w:val="24"/>
        </w:rPr>
        <w:t>reoccurring</w:t>
      </w:r>
      <w:r w:rsidR="008B7179">
        <w:rPr>
          <w:sz w:val="24"/>
          <w:szCs w:val="24"/>
        </w:rPr>
        <w:t xml:space="preserve"> revenue includes, but </w:t>
      </w:r>
      <w:r w:rsidR="00CC0CA6">
        <w:rPr>
          <w:sz w:val="24"/>
          <w:szCs w:val="24"/>
        </w:rPr>
        <w:t>are</w:t>
      </w:r>
      <w:r w:rsidR="008B7179">
        <w:rPr>
          <w:sz w:val="24"/>
          <w:szCs w:val="24"/>
        </w:rPr>
        <w:t xml:space="preserve"> not limited to:</w:t>
      </w:r>
    </w:p>
    <w:p w14:paraId="4D2ADEB1" w14:textId="77777777" w:rsidR="008B7179" w:rsidRPr="008B7179" w:rsidRDefault="008B7179" w:rsidP="008B7179">
      <w:pPr>
        <w:pStyle w:val="ListParagraph"/>
        <w:rPr>
          <w:sz w:val="24"/>
          <w:szCs w:val="24"/>
        </w:rPr>
      </w:pPr>
    </w:p>
    <w:p w14:paraId="00AE126F" w14:textId="77777777" w:rsidR="008B7179" w:rsidRDefault="008B7179" w:rsidP="008B717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Real Estate Transfer Tax from the sale of property not routinely sold, such as a shopping center, office or apartment building, or an industrial property.</w:t>
      </w:r>
    </w:p>
    <w:p w14:paraId="3105CF8B" w14:textId="77777777" w:rsidR="008B7179" w:rsidRDefault="008B7179" w:rsidP="008B717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Permit fee revenue from </w:t>
      </w:r>
      <w:r w:rsidR="00BD094F">
        <w:rPr>
          <w:sz w:val="24"/>
          <w:szCs w:val="24"/>
        </w:rPr>
        <w:t>unusually</w:t>
      </w:r>
      <w:r>
        <w:rPr>
          <w:sz w:val="24"/>
          <w:szCs w:val="24"/>
        </w:rPr>
        <w:t xml:space="preserve"> large-scale </w:t>
      </w:r>
      <w:r w:rsidR="00BD094F">
        <w:rPr>
          <w:sz w:val="24"/>
          <w:szCs w:val="24"/>
        </w:rPr>
        <w:t>residential</w:t>
      </w:r>
      <w:r>
        <w:rPr>
          <w:sz w:val="24"/>
          <w:szCs w:val="24"/>
        </w:rPr>
        <w:t xml:space="preserve"> or commercial development projects.</w:t>
      </w:r>
    </w:p>
    <w:p w14:paraId="46F7C936" w14:textId="39978729" w:rsidR="00DD7CAA" w:rsidRDefault="00DD7CAA" w:rsidP="008B717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Proceeds from the sale of</w:t>
      </w:r>
      <w:r w:rsidR="00AE19F7">
        <w:rPr>
          <w:sz w:val="24"/>
          <w:szCs w:val="24"/>
        </w:rPr>
        <w:t xml:space="preserve"> </w:t>
      </w:r>
      <w:r w:rsidR="00BD094F">
        <w:rPr>
          <w:sz w:val="24"/>
          <w:szCs w:val="24"/>
        </w:rPr>
        <w:t>township</w:t>
      </w:r>
      <w:r w:rsidR="00AE19F7">
        <w:rPr>
          <w:sz w:val="24"/>
          <w:szCs w:val="24"/>
        </w:rPr>
        <w:t xml:space="preserve"> owned building</w:t>
      </w:r>
      <w:r w:rsidR="00CC0CA6">
        <w:rPr>
          <w:sz w:val="24"/>
          <w:szCs w:val="24"/>
        </w:rPr>
        <w:t>s</w:t>
      </w:r>
      <w:r w:rsidR="00AE19F7">
        <w:rPr>
          <w:sz w:val="24"/>
          <w:szCs w:val="24"/>
        </w:rPr>
        <w:t xml:space="preserve"> or property.</w:t>
      </w:r>
    </w:p>
    <w:p w14:paraId="2AEEE70F" w14:textId="77777777" w:rsidR="00BD094F" w:rsidRDefault="00BD094F" w:rsidP="008B717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Donations or contributions.</w:t>
      </w:r>
    </w:p>
    <w:p w14:paraId="2A2302B7" w14:textId="77777777" w:rsidR="00BD094F" w:rsidRDefault="00BD094F" w:rsidP="00BD094F">
      <w:pPr>
        <w:rPr>
          <w:sz w:val="24"/>
          <w:szCs w:val="24"/>
        </w:rPr>
      </w:pPr>
    </w:p>
    <w:p w14:paraId="1C2BFF46" w14:textId="6DB0CDEA" w:rsidR="00BD094F" w:rsidRPr="00BD094F" w:rsidRDefault="00BD094F" w:rsidP="00BD09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Borrowing through the issuance of Bonds</w:t>
      </w:r>
      <w:r w:rsidR="00FB015A">
        <w:rPr>
          <w:sz w:val="24"/>
          <w:szCs w:val="24"/>
        </w:rPr>
        <w:t xml:space="preserve"> or </w:t>
      </w:r>
      <w:r>
        <w:rPr>
          <w:sz w:val="24"/>
          <w:szCs w:val="24"/>
        </w:rPr>
        <w:t>Notes should be considered after all other means of funding have been exhausted.</w:t>
      </w:r>
    </w:p>
    <w:p w14:paraId="5EECDD45" w14:textId="77777777" w:rsidR="005A79EA" w:rsidRPr="008B7179" w:rsidRDefault="005A79EA" w:rsidP="002117D9">
      <w:pPr>
        <w:rPr>
          <w:sz w:val="24"/>
          <w:szCs w:val="24"/>
          <w:u w:val="single"/>
        </w:rPr>
      </w:pPr>
    </w:p>
    <w:p w14:paraId="3FF18CCA" w14:textId="77777777" w:rsidR="002117D9" w:rsidRPr="008B7179" w:rsidRDefault="002117D9" w:rsidP="002117D9">
      <w:pPr>
        <w:rPr>
          <w:sz w:val="24"/>
          <w:szCs w:val="24"/>
        </w:rPr>
      </w:pPr>
    </w:p>
    <w:sectPr w:rsidR="002117D9" w:rsidRPr="008B7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A0D35" w14:textId="77777777" w:rsidR="00722164" w:rsidRDefault="00722164" w:rsidP="00E5599B">
      <w:pPr>
        <w:spacing w:after="0" w:line="240" w:lineRule="auto"/>
      </w:pPr>
      <w:r>
        <w:separator/>
      </w:r>
    </w:p>
  </w:endnote>
  <w:endnote w:type="continuationSeparator" w:id="0">
    <w:p w14:paraId="1CD1BDE1" w14:textId="77777777" w:rsidR="00722164" w:rsidRDefault="00722164" w:rsidP="00E5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4A70F" w14:textId="77777777" w:rsidR="00E5599B" w:rsidRDefault="00E559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EEEB" w14:textId="77777777" w:rsidR="00E5599B" w:rsidRDefault="00E559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E8CC" w14:textId="77777777" w:rsidR="00E5599B" w:rsidRDefault="00E55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2EA5D" w14:textId="77777777" w:rsidR="00722164" w:rsidRDefault="00722164" w:rsidP="00E5599B">
      <w:pPr>
        <w:spacing w:after="0" w:line="240" w:lineRule="auto"/>
      </w:pPr>
      <w:r>
        <w:separator/>
      </w:r>
    </w:p>
  </w:footnote>
  <w:footnote w:type="continuationSeparator" w:id="0">
    <w:p w14:paraId="5678D03A" w14:textId="77777777" w:rsidR="00722164" w:rsidRDefault="00722164" w:rsidP="00E55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CCED" w14:textId="77777777" w:rsidR="00E5599B" w:rsidRDefault="00E559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3E338" w14:textId="77777777" w:rsidR="00E5599B" w:rsidRDefault="00E559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6441" w14:textId="77777777" w:rsidR="00E5599B" w:rsidRDefault="00E559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77EE5"/>
    <w:multiLevelType w:val="hybridMultilevel"/>
    <w:tmpl w:val="9EC22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93102"/>
    <w:multiLevelType w:val="hybridMultilevel"/>
    <w:tmpl w:val="B34ABEE4"/>
    <w:lvl w:ilvl="0" w:tplc="B748B6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53459803">
    <w:abstractNumId w:val="0"/>
  </w:num>
  <w:num w:numId="2" w16cid:durableId="106904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D9"/>
    <w:rsid w:val="00044BE9"/>
    <w:rsid w:val="002117D9"/>
    <w:rsid w:val="00255031"/>
    <w:rsid w:val="00283ADA"/>
    <w:rsid w:val="005A79EA"/>
    <w:rsid w:val="00722164"/>
    <w:rsid w:val="008B7179"/>
    <w:rsid w:val="00AA3D03"/>
    <w:rsid w:val="00AE19F7"/>
    <w:rsid w:val="00BD094F"/>
    <w:rsid w:val="00C64CF4"/>
    <w:rsid w:val="00C7799F"/>
    <w:rsid w:val="00CC0CA6"/>
    <w:rsid w:val="00CE3B65"/>
    <w:rsid w:val="00D61112"/>
    <w:rsid w:val="00DC2510"/>
    <w:rsid w:val="00DD7CAA"/>
    <w:rsid w:val="00E5599B"/>
    <w:rsid w:val="00F46908"/>
    <w:rsid w:val="00FB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F1B14D"/>
  <w15:docId w15:val="{88577D58-291B-4E0F-8AA2-CDD49BFD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9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5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99B"/>
  </w:style>
  <w:style w:type="paragraph" w:styleId="Footer">
    <w:name w:val="footer"/>
    <w:basedOn w:val="Normal"/>
    <w:link w:val="FooterChar"/>
    <w:uiPriority w:val="99"/>
    <w:unhideWhenUsed/>
    <w:rsid w:val="00E55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A93CC-EF4A-4434-96F0-0706AC87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Tieperman</dc:creator>
  <cp:lastModifiedBy>Barry Luber</cp:lastModifiedBy>
  <cp:revision>3</cp:revision>
  <cp:lastPrinted>2015-12-10T14:19:00Z</cp:lastPrinted>
  <dcterms:created xsi:type="dcterms:W3CDTF">2025-01-30T14:16:00Z</dcterms:created>
  <dcterms:modified xsi:type="dcterms:W3CDTF">2025-01-31T18:40:00Z</dcterms:modified>
</cp:coreProperties>
</file>